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54" w:type="dxa"/>
        <w:tblLayout w:type="fixed"/>
        <w:tblLook w:val="01E0" w:firstRow="1" w:lastRow="1" w:firstColumn="1" w:lastColumn="1" w:noHBand="0" w:noVBand="0"/>
      </w:tblPr>
      <w:tblGrid>
        <w:gridCol w:w="1701"/>
        <w:gridCol w:w="9356"/>
      </w:tblGrid>
      <w:tr w:rsidR="004F7617">
        <w:trPr>
          <w:trHeight w:hRule="exact" w:val="284"/>
        </w:trPr>
        <w:tc>
          <w:tcPr>
            <w:tcW w:w="1701" w:type="dxa"/>
            <w:vAlign w:val="bottom"/>
          </w:tcPr>
          <w:p w:rsidR="004F7617" w:rsidRDefault="004F7617" w:rsidP="00D060C7">
            <w:pPr>
              <w:jc w:val="right"/>
            </w:pPr>
            <w:r>
              <w:t>Datum:</w:t>
            </w:r>
          </w:p>
        </w:tc>
        <w:tc>
          <w:tcPr>
            <w:tcW w:w="9356" w:type="dxa"/>
            <w:vAlign w:val="bottom"/>
          </w:tcPr>
          <w:p w:rsidR="004F7617" w:rsidRDefault="004F7617" w:rsidP="00D060C7">
            <w:r>
              <w:t>20 september 2017</w:t>
            </w:r>
          </w:p>
        </w:tc>
      </w:tr>
      <w:tr w:rsidR="004F7617">
        <w:trPr>
          <w:trHeight w:hRule="exact" w:val="284"/>
        </w:trPr>
        <w:tc>
          <w:tcPr>
            <w:tcW w:w="1701" w:type="dxa"/>
            <w:vAlign w:val="bottom"/>
          </w:tcPr>
          <w:p w:rsidR="004F7617" w:rsidRDefault="004F7617" w:rsidP="00D060C7">
            <w:pPr>
              <w:jc w:val="right"/>
            </w:pPr>
            <w:r>
              <w:t>Aan:</w:t>
            </w:r>
          </w:p>
        </w:tc>
        <w:tc>
          <w:tcPr>
            <w:tcW w:w="9356" w:type="dxa"/>
            <w:vAlign w:val="bottom"/>
          </w:tcPr>
          <w:p w:rsidR="004F7617" w:rsidRDefault="004F7617" w:rsidP="004F7617">
            <w:r>
              <w:t>Leden van de gemeenteraad</w:t>
            </w:r>
          </w:p>
        </w:tc>
      </w:tr>
      <w:tr w:rsidR="004F7617">
        <w:trPr>
          <w:trHeight w:hRule="exact" w:val="284"/>
        </w:trPr>
        <w:tc>
          <w:tcPr>
            <w:tcW w:w="1701" w:type="dxa"/>
            <w:vAlign w:val="bottom"/>
          </w:tcPr>
          <w:p w:rsidR="004F7617" w:rsidRDefault="004F7617" w:rsidP="00D060C7">
            <w:pPr>
              <w:jc w:val="right"/>
            </w:pPr>
            <w:r>
              <w:t>Van:</w:t>
            </w:r>
          </w:p>
        </w:tc>
        <w:tc>
          <w:tcPr>
            <w:tcW w:w="9356" w:type="dxa"/>
            <w:vAlign w:val="bottom"/>
          </w:tcPr>
          <w:p w:rsidR="004F7617" w:rsidRDefault="004F7617" w:rsidP="00D060C7">
            <w:r>
              <w:t>College van burgemeester en wethouders</w:t>
            </w:r>
          </w:p>
        </w:tc>
      </w:tr>
      <w:tr w:rsidR="004F7617">
        <w:trPr>
          <w:trHeight w:hRule="exact" w:val="284"/>
        </w:trPr>
        <w:tc>
          <w:tcPr>
            <w:tcW w:w="1701" w:type="dxa"/>
            <w:vAlign w:val="bottom"/>
          </w:tcPr>
          <w:p w:rsidR="004F7617" w:rsidRDefault="004F7617" w:rsidP="00D060C7">
            <w:pPr>
              <w:jc w:val="right"/>
            </w:pPr>
            <w:r>
              <w:t>Onderwerp:</w:t>
            </w:r>
          </w:p>
        </w:tc>
        <w:tc>
          <w:tcPr>
            <w:tcW w:w="9356" w:type="dxa"/>
            <w:vAlign w:val="bottom"/>
          </w:tcPr>
          <w:p w:rsidR="004F7617" w:rsidRDefault="004F7617" w:rsidP="00D060C7">
            <w:r>
              <w:t>Vragen over de eerste tussenrapportage 2017</w:t>
            </w:r>
          </w:p>
        </w:tc>
      </w:tr>
    </w:tbl>
    <w:p w:rsidR="004F7617" w:rsidRDefault="004F7617" w:rsidP="00376B8D"/>
    <w:p w:rsidR="00503FD6" w:rsidRDefault="004F7617" w:rsidP="001F300B">
      <w:r>
        <w:t>Wij hebben u toegezegd, tijdens de behandeling van de eerste tussenrapportage 2017 in de commissie bestuur en middelen op 13 september, de openstaande mondelinge vragen schriftelijk te beantwoorden.</w:t>
      </w:r>
    </w:p>
    <w:p w:rsidR="004F7617" w:rsidRDefault="004F7617" w:rsidP="001F300B"/>
    <w:p w:rsidR="004F7617" w:rsidRDefault="004F7617" w:rsidP="001F300B">
      <w:r>
        <w:t>Bijgaand ontvangt u onze beantwoording.</w:t>
      </w:r>
    </w:p>
    <w:p w:rsidR="004F7617" w:rsidRDefault="004F7617" w:rsidP="001F300B"/>
    <w:p w:rsidR="004F7617" w:rsidRDefault="004F7617" w:rsidP="004F7617">
      <w:pPr>
        <w:rPr>
          <w:u w:val="single"/>
        </w:rPr>
      </w:pPr>
      <w:r>
        <w:rPr>
          <w:u w:val="single"/>
        </w:rPr>
        <w:t>Wat is de s</w:t>
      </w:r>
      <w:r w:rsidRPr="0073773A">
        <w:rPr>
          <w:u w:val="single"/>
        </w:rPr>
        <w:t xml:space="preserve">tand van zaken betreffende de aanleg Sprinklerinstallatie </w:t>
      </w:r>
      <w:proofErr w:type="spellStart"/>
      <w:r w:rsidRPr="0073773A">
        <w:rPr>
          <w:u w:val="single"/>
        </w:rPr>
        <w:t>Koninckshoek</w:t>
      </w:r>
      <w:proofErr w:type="spellEnd"/>
      <w:r>
        <w:rPr>
          <w:u w:val="single"/>
        </w:rPr>
        <w:t>?</w:t>
      </w:r>
    </w:p>
    <w:p w:rsidR="004F7617" w:rsidRDefault="004F7617" w:rsidP="004F7617">
      <w:r>
        <w:t xml:space="preserve">Het college heeft het </w:t>
      </w:r>
      <w:proofErr w:type="spellStart"/>
      <w:r>
        <w:t>UitgangsPunten</w:t>
      </w:r>
      <w:proofErr w:type="spellEnd"/>
      <w:r>
        <w:t xml:space="preserve"> Document voor het verbeteren van de brandveiligheid in de parkeergarage </w:t>
      </w:r>
      <w:proofErr w:type="spellStart"/>
      <w:r>
        <w:t>Koninckshoek</w:t>
      </w:r>
      <w:proofErr w:type="spellEnd"/>
      <w:r>
        <w:t xml:space="preserve"> op 5 september 2017 vastgesteld. De procedure voor de aanbesteding van het werk zijn inmiddels gestart.</w:t>
      </w:r>
    </w:p>
    <w:p w:rsidR="004F7617" w:rsidRDefault="004F7617" w:rsidP="004F7617"/>
    <w:p w:rsidR="004F7617" w:rsidRPr="0073773A" w:rsidRDefault="004F7617" w:rsidP="004F7617">
      <w:pPr>
        <w:tabs>
          <w:tab w:val="left" w:pos="1843"/>
        </w:tabs>
        <w:rPr>
          <w:u w:val="single"/>
        </w:rPr>
      </w:pPr>
      <w:r w:rsidRPr="0073773A">
        <w:rPr>
          <w:u w:val="single"/>
        </w:rPr>
        <w:t>Wat zijn de exploitatiekosten van het parkeren in het centrum</w:t>
      </w:r>
      <w:r>
        <w:rPr>
          <w:u w:val="single"/>
        </w:rPr>
        <w:t>?</w:t>
      </w:r>
    </w:p>
    <w:p w:rsidR="004F7617" w:rsidRDefault="004F7617" w:rsidP="004F7617">
      <w:pPr>
        <w:tabs>
          <w:tab w:val="left" w:pos="1843"/>
        </w:tabs>
      </w:pPr>
      <w:r>
        <w:t xml:space="preserve">Er is aan de raad in oktober 2016 een overzicht gegeven van de kosten die samengaan met het exploiteren van het parkeerbeheer indien geen parkeerbelasting meer wordt geheven. Dit overzicht treft hierbij nogmaals aan. Het overzicht is destijds als vertrouwelijk stuk aangeboden. Het stuk heeft nog steeds de status van </w:t>
      </w:r>
      <w:r w:rsidRPr="00FE7D4E">
        <w:rPr>
          <w:b/>
        </w:rPr>
        <w:t>vertrouwelijk</w:t>
      </w:r>
      <w:r>
        <w:t>.</w:t>
      </w:r>
    </w:p>
    <w:p w:rsidR="004F7617" w:rsidRDefault="004F7617" w:rsidP="001F300B"/>
    <w:p w:rsidR="004F7617" w:rsidRPr="004F7617" w:rsidRDefault="004F7617" w:rsidP="004F7617">
      <w:pPr>
        <w:rPr>
          <w:u w:val="single"/>
        </w:rPr>
      </w:pPr>
      <w:r w:rsidRPr="004F7617">
        <w:rPr>
          <w:u w:val="single"/>
        </w:rPr>
        <w:t>Kunt u een toelichting geven op onderstaande tekst uit de</w:t>
      </w:r>
      <w:r w:rsidRPr="004F7617">
        <w:rPr>
          <w:u w:val="single"/>
        </w:rPr>
        <w:t xml:space="preserve"> eerste tussenrapportage 201</w:t>
      </w:r>
      <w:r w:rsidRPr="004F7617">
        <w:rPr>
          <w:u w:val="single"/>
        </w:rPr>
        <w:t>7?</w:t>
      </w:r>
    </w:p>
    <w:p w:rsidR="004F7617" w:rsidRDefault="004F7617" w:rsidP="004F7617">
      <w:pPr>
        <w:rPr>
          <w:i/>
          <w:iCs/>
        </w:rPr>
      </w:pPr>
      <w:r>
        <w:rPr>
          <w:i/>
          <w:iCs/>
        </w:rPr>
        <w:t>Bij de actualisatie van de financiering nemen wij ook het onderdeel rentelasten van de kapitaallasten mee. Onder de financiering vallen de rentelasten op ons eigen vermogen maar ook over uitstaande en opgenomen geldleningen, samengevoegd komt dit dus terug in de financiering. Het hogere bedrag aan eigen vermogen zorgt voor een stijging van re</w:t>
      </w:r>
      <w:r w:rsidR="007E0AAF">
        <w:rPr>
          <w:i/>
          <w:iCs/>
        </w:rPr>
        <w:t>ntelasten op het eigen vermogen</w:t>
      </w:r>
      <w:r>
        <w:rPr>
          <w:i/>
          <w:iCs/>
        </w:rPr>
        <w:t>, samen met de actualisatie van de overige rentelasten en een lagere renteopbrengst via de kapitaallasten is er sprake van een nadelig resultaat ad € 584.000.</w:t>
      </w:r>
    </w:p>
    <w:p w:rsidR="004F7617" w:rsidRDefault="004F7617" w:rsidP="004F7617">
      <w:bookmarkStart w:id="0" w:name="_GoBack"/>
      <w:bookmarkEnd w:id="0"/>
    </w:p>
    <w:p w:rsidR="004F7617" w:rsidRDefault="004F7617" w:rsidP="004F7617">
      <w:r>
        <w:t>Het component financiering bestaat uit verschillende onderdelen. Daarbij moet u denken aan rente op leningen die wij zijn aangegaan, maar ook aan rente over de leningen die wij uitgezet hebben. Of de rente die wij intern toerekenen aan de verschillende producten op basis van gedane investeringen. Maar ook de rente die wij berekenen over onze eigen vermogen en die daar volgens aan toegevoegd wordt.</w:t>
      </w:r>
    </w:p>
    <w:p w:rsidR="004F7617" w:rsidRDefault="004F7617" w:rsidP="004F7617"/>
    <w:p w:rsidR="004F7617" w:rsidRDefault="004F7617" w:rsidP="004F7617">
      <w:r>
        <w:t>Tijdens het opstellen van de begroting wordt er een inschatting gemaakt van de verschillende rentelasten en rentebaten. Op basis hiervan wordt er een rente-omslag (percentage) bepaald. Dit percentage gebruiken wij om bijvoorbeeld de rente over de investeringen toe te rekenen aan de verschillende producten. Wanneer er na de samenstelling van de begroting zich een wijziging voord</w:t>
      </w:r>
      <w:r>
        <w:rPr>
          <w:color w:val="1F497D"/>
        </w:rPr>
        <w:t>oet</w:t>
      </w:r>
      <w:r>
        <w:t xml:space="preserve"> binnen het component financiering kan dit niet meer worden verrekend binnen de rente-omslag (aanpassing percentage). Dit zorgt direct voor een effect in het resultaat. </w:t>
      </w:r>
    </w:p>
    <w:p w:rsidR="004F7617" w:rsidRDefault="004F7617" w:rsidP="004F7617"/>
    <w:p w:rsidR="004F7617" w:rsidRDefault="004F7617" w:rsidP="004F7617">
      <w:r>
        <w:t xml:space="preserve">Voor 2017 betekent het dat een aantal leningen </w:t>
      </w:r>
      <w:r>
        <w:rPr>
          <w:color w:val="1F497D"/>
        </w:rPr>
        <w:t>is</w:t>
      </w:r>
      <w:r>
        <w:t xml:space="preserve"> geactualiseerd met een voordelig effect van € 40.000. Met het opmaken van de eerste tussenrapportage bleek ook dat de reservepositie hoger is dan tijdens de begroting was ingeschat. Hierdoor wordt er € 471.000 meer aan rente toegerekend dan in eerste instantie ingeschat. Dit is een nadelig effect binnen de begroting maar leidt aan de andere kant tot een hoger bedrag dat wordt toegevoegd aan de reserve. </w:t>
      </w:r>
    </w:p>
    <w:p w:rsidR="004F7617" w:rsidRDefault="004F7617" w:rsidP="004F7617">
      <w:r>
        <w:t>Daarnaast wordt elk jaar na de jaarrekening het overzicht van geactiveerde investeringen bijgewerkt. Dit zorgt meestal voor een wijziging in de kapitaallasten (afschrijving + rente). Normaal gesproken zorgt een stijging van de rentelasten op de producten voor een stijging van de renteopbrengsten binnen het product financiering. Echter in een aantal gevallen verdwijnt dit voordeel in de daarin gerelateerde reserve/voorziening. Zoals bijvoorbeeld bij riolering. Hier spreken we dan van een gesloten systeem. Deze systematiek zorgt voor een nadelig effect van € 152.000 op de begroting.</w:t>
      </w:r>
    </w:p>
    <w:p w:rsidR="007E0AAF" w:rsidRDefault="007E0AAF" w:rsidP="004F7617"/>
    <w:p w:rsidR="007E0AAF" w:rsidRDefault="007E0AAF" w:rsidP="004F7617">
      <w:pPr>
        <w:rPr>
          <w:u w:val="single"/>
        </w:rPr>
      </w:pPr>
      <w:r>
        <w:rPr>
          <w:u w:val="single"/>
        </w:rPr>
        <w:br w:type="page"/>
      </w:r>
      <w:r>
        <w:rPr>
          <w:u w:val="single"/>
        </w:rPr>
        <w:lastRenderedPageBreak/>
        <w:t>Kunt u ons informeren over stand van zaken Baggerbedrijf?</w:t>
      </w:r>
    </w:p>
    <w:p w:rsidR="007E0AAF" w:rsidRDefault="007E0AAF" w:rsidP="007E0AAF">
      <w:r w:rsidRPr="007E0AAF">
        <w:t xml:space="preserve">Wethouder Wagner heeft tijdens de commissievergadering toegezegd de vraag over het baggerbedrijf in het najaar te beantwoorden. Er is nog overleg nodig met diverse partijen voordat tot een antwoord kan worden gekomen. Daardoor lukt beantwoording helaas niet voor de behandeling van de begroting. </w:t>
      </w:r>
    </w:p>
    <w:p w:rsidR="007E0AAF" w:rsidRDefault="007E0AAF" w:rsidP="007E0AAF"/>
    <w:p w:rsidR="007E0AAF" w:rsidRPr="007E0AAF" w:rsidRDefault="007E0AAF" w:rsidP="007E0AAF">
      <w:pPr>
        <w:rPr>
          <w:u w:val="single"/>
        </w:rPr>
      </w:pPr>
      <w:r w:rsidRPr="007E0AAF">
        <w:rPr>
          <w:u w:val="single"/>
        </w:rPr>
        <w:t xml:space="preserve">Hoe kan </w:t>
      </w:r>
      <w:r w:rsidRPr="007E0AAF">
        <w:rPr>
          <w:u w:val="single"/>
        </w:rPr>
        <w:t xml:space="preserve">de groei van het aantal uitkeringsgerechtigden naar de toekomst toe gefinancierd </w:t>
      </w:r>
      <w:r w:rsidRPr="007E0AAF">
        <w:rPr>
          <w:u w:val="single"/>
        </w:rPr>
        <w:t>worden</w:t>
      </w:r>
      <w:r w:rsidRPr="007E0AAF">
        <w:rPr>
          <w:u w:val="single"/>
        </w:rPr>
        <w:t xml:space="preserve"> (=structurele fina</w:t>
      </w:r>
      <w:r w:rsidRPr="007E0AAF">
        <w:rPr>
          <w:u w:val="single"/>
        </w:rPr>
        <w:t>nciering van de groei)</w:t>
      </w:r>
      <w:r w:rsidRPr="007E0AAF">
        <w:rPr>
          <w:u w:val="single"/>
        </w:rPr>
        <w:t xml:space="preserve"> en hoe </w:t>
      </w:r>
      <w:r w:rsidRPr="007E0AAF">
        <w:rPr>
          <w:u w:val="single"/>
        </w:rPr>
        <w:t>is de systematiek?</w:t>
      </w:r>
    </w:p>
    <w:p w:rsidR="007E0AAF" w:rsidRPr="007E0AAF" w:rsidRDefault="007E0AAF" w:rsidP="007E0AAF">
      <w:r w:rsidRPr="007E0AAF">
        <w:t>Financiering vindt plaats vanuit de ontvangen rijksmiddelen (BUIG), waarbij de basis is het gemiddeld aantal bijstandsgerechtigden over de afgelopen 3 jaar. Bij tekorten (hogere uitkeringslasten dan rijksbijdrage) worden deze gedekt uit de reserve Sociaal Domein, conform het genomen raadsbesluit. Indien de uitkeringslasten hoger zijn dan 5% van de rijksbijdrage zal een beroep gedaan worden op (aanvraag) een aanvullende uitkering van het rijk.</w:t>
      </w:r>
    </w:p>
    <w:p w:rsidR="007E0AAF" w:rsidRPr="007E0AAF" w:rsidRDefault="007E0AAF" w:rsidP="007E0AAF"/>
    <w:p w:rsidR="007E0AAF" w:rsidRPr="007E0AAF" w:rsidRDefault="007E0AAF" w:rsidP="004F7617">
      <w:pPr>
        <w:rPr>
          <w:color w:val="1F497D"/>
          <w:u w:val="single"/>
        </w:rPr>
      </w:pPr>
    </w:p>
    <w:p w:rsidR="004F7617" w:rsidRPr="00376B8D" w:rsidRDefault="004F7617" w:rsidP="001F300B"/>
    <w:sectPr w:rsidR="004F7617" w:rsidRPr="00376B8D" w:rsidSect="00AC1970">
      <w:headerReference w:type="even" r:id="rId6"/>
      <w:headerReference w:type="default" r:id="rId7"/>
      <w:footerReference w:type="even" r:id="rId8"/>
      <w:footerReference w:type="default" r:id="rId9"/>
      <w:headerReference w:type="first" r:id="rId10"/>
      <w:footerReference w:type="first" r:id="rId11"/>
      <w:pgSz w:w="11906" w:h="16838" w:code="9"/>
      <w:pgMar w:top="340" w:right="567" w:bottom="567" w:left="1871" w:header="312"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17" w:rsidRDefault="004F7617">
      <w:pPr>
        <w:spacing w:line="240" w:lineRule="auto"/>
      </w:pPr>
      <w:r>
        <w:separator/>
      </w:r>
    </w:p>
  </w:endnote>
  <w:endnote w:type="continuationSeparator" w:id="0">
    <w:p w:rsidR="004F7617" w:rsidRDefault="004F7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EN4HELD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17" w:rsidRDefault="004F7617">
      <w:pPr>
        <w:spacing w:line="240" w:lineRule="auto"/>
      </w:pPr>
      <w:r>
        <w:separator/>
      </w:r>
    </w:p>
  </w:footnote>
  <w:footnote w:type="continuationSeparator" w:id="0">
    <w:p w:rsidR="004F7617" w:rsidRDefault="004F76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970" w:rsidRDefault="00AC197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54" w:type="dxa"/>
      <w:tblLayout w:type="fixed"/>
      <w:tblLook w:val="01E0" w:firstRow="1" w:lastRow="1" w:firstColumn="1" w:lastColumn="1" w:noHBand="0" w:noVBand="0"/>
    </w:tblPr>
    <w:tblGrid>
      <w:gridCol w:w="2880"/>
      <w:gridCol w:w="8175"/>
    </w:tblGrid>
    <w:tr w:rsidR="00177D1E">
      <w:trPr>
        <w:trHeight w:hRule="exact" w:val="1474"/>
      </w:trPr>
      <w:tc>
        <w:tcPr>
          <w:tcW w:w="2880" w:type="dxa"/>
        </w:tcPr>
        <w:p w:rsidR="00177D1E" w:rsidRPr="0092204A" w:rsidRDefault="00177D1E" w:rsidP="00893803">
          <w:pPr>
            <w:rPr>
              <w:rStyle w:val="Logo"/>
            </w:rPr>
          </w:pPr>
          <w:r w:rsidRPr="0092204A">
            <w:rPr>
              <w:rStyle w:val="Logo"/>
            </w:rPr>
            <w:t>¥</w:t>
          </w:r>
        </w:p>
      </w:tc>
      <w:tc>
        <w:tcPr>
          <w:tcW w:w="8175" w:type="dxa"/>
          <w:vAlign w:val="bottom"/>
        </w:tcPr>
        <w:p w:rsidR="00177D1E" w:rsidRPr="00F86971" w:rsidRDefault="004F7617" w:rsidP="00893803">
          <w:pPr>
            <w:pStyle w:val="Modelnaam"/>
          </w:pPr>
          <w:r>
            <w:t>Memo</w:t>
          </w:r>
        </w:p>
      </w:tc>
    </w:tr>
  </w:tbl>
  <w:p w:rsidR="00177D1E" w:rsidRPr="00893803" w:rsidRDefault="00177D1E" w:rsidP="008938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617"/>
    <w:rsid w:val="0003320A"/>
    <w:rsid w:val="000A4087"/>
    <w:rsid w:val="000F1D7D"/>
    <w:rsid w:val="00177D1E"/>
    <w:rsid w:val="001846DC"/>
    <w:rsid w:val="00186754"/>
    <w:rsid w:val="001A50B6"/>
    <w:rsid w:val="001F300B"/>
    <w:rsid w:val="00254557"/>
    <w:rsid w:val="0028567F"/>
    <w:rsid w:val="00332C26"/>
    <w:rsid w:val="00363C77"/>
    <w:rsid w:val="003732AD"/>
    <w:rsid w:val="00376B8D"/>
    <w:rsid w:val="004002E6"/>
    <w:rsid w:val="0048330C"/>
    <w:rsid w:val="004F1169"/>
    <w:rsid w:val="004F7617"/>
    <w:rsid w:val="00503FD6"/>
    <w:rsid w:val="00557DB3"/>
    <w:rsid w:val="005764D6"/>
    <w:rsid w:val="00590041"/>
    <w:rsid w:val="0066583E"/>
    <w:rsid w:val="007A4E98"/>
    <w:rsid w:val="007E0AAF"/>
    <w:rsid w:val="008326CF"/>
    <w:rsid w:val="00832F6A"/>
    <w:rsid w:val="00852430"/>
    <w:rsid w:val="00856111"/>
    <w:rsid w:val="00893803"/>
    <w:rsid w:val="009E0094"/>
    <w:rsid w:val="00A45766"/>
    <w:rsid w:val="00A50670"/>
    <w:rsid w:val="00A60BCA"/>
    <w:rsid w:val="00AB4074"/>
    <w:rsid w:val="00AC1970"/>
    <w:rsid w:val="00B459C5"/>
    <w:rsid w:val="00B511B9"/>
    <w:rsid w:val="00BB18CE"/>
    <w:rsid w:val="00C66D8B"/>
    <w:rsid w:val="00CF68BD"/>
    <w:rsid w:val="00D40F4F"/>
    <w:rsid w:val="00D650A1"/>
    <w:rsid w:val="00DB39F9"/>
    <w:rsid w:val="00E81EB2"/>
    <w:rsid w:val="00EA64B6"/>
    <w:rsid w:val="00EC4E1D"/>
    <w:rsid w:val="00F12726"/>
    <w:rsid w:val="00FE7A36"/>
    <w:rsid w:val="00FE7D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1B9"/>
    <w:pPr>
      <w:spacing w:line="240" w:lineRule="atLeast"/>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650A1"/>
    <w:rPr>
      <w:rFonts w:ascii="Arial" w:hAnsi="Arial"/>
    </w:rPr>
    <w:tblPr/>
  </w:style>
  <w:style w:type="paragraph" w:customStyle="1" w:styleId="Modelnaam">
    <w:name w:val="Modelnaam"/>
    <w:basedOn w:val="Standaard"/>
    <w:rsid w:val="00177D1E"/>
    <w:pPr>
      <w:spacing w:line="240" w:lineRule="auto"/>
      <w:jc w:val="right"/>
    </w:pPr>
    <w:rPr>
      <w:b/>
      <w:bCs/>
    </w:rPr>
  </w:style>
  <w:style w:type="character" w:customStyle="1" w:styleId="Logo">
    <w:name w:val="Logo"/>
    <w:rsid w:val="00893803"/>
    <w:rPr>
      <w:rFonts w:ascii="DEN4HELDER" w:hAnsi="DEN4HELDER"/>
      <w:sz w:val="120"/>
      <w:szCs w:val="120"/>
    </w:rPr>
  </w:style>
  <w:style w:type="paragraph" w:styleId="Koptekst">
    <w:name w:val="header"/>
    <w:basedOn w:val="Standaard"/>
    <w:link w:val="KoptekstChar"/>
    <w:uiPriority w:val="99"/>
    <w:unhideWhenUsed/>
    <w:rsid w:val="00AC1970"/>
    <w:pPr>
      <w:tabs>
        <w:tab w:val="center" w:pos="4536"/>
        <w:tab w:val="right" w:pos="9072"/>
      </w:tabs>
    </w:pPr>
  </w:style>
  <w:style w:type="character" w:customStyle="1" w:styleId="KoptekstChar">
    <w:name w:val="Koptekst Char"/>
    <w:link w:val="Koptekst"/>
    <w:uiPriority w:val="99"/>
    <w:rsid w:val="00AC1970"/>
    <w:rPr>
      <w:rFonts w:ascii="Arial" w:hAnsi="Arial"/>
    </w:rPr>
  </w:style>
  <w:style w:type="paragraph" w:styleId="Voettekst">
    <w:name w:val="footer"/>
    <w:basedOn w:val="Standaard"/>
    <w:link w:val="VoettekstChar"/>
    <w:uiPriority w:val="99"/>
    <w:unhideWhenUsed/>
    <w:rsid w:val="00AC1970"/>
    <w:pPr>
      <w:tabs>
        <w:tab w:val="center" w:pos="4536"/>
        <w:tab w:val="right" w:pos="9072"/>
      </w:tabs>
    </w:pPr>
  </w:style>
  <w:style w:type="character" w:customStyle="1" w:styleId="VoettekstChar">
    <w:name w:val="Voettekst Char"/>
    <w:link w:val="Voettekst"/>
    <w:uiPriority w:val="99"/>
    <w:rsid w:val="00AC197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276836">
      <w:bodyDiv w:val="1"/>
      <w:marLeft w:val="0"/>
      <w:marRight w:val="0"/>
      <w:marTop w:val="0"/>
      <w:marBottom w:val="0"/>
      <w:divBdr>
        <w:top w:val="none" w:sz="0" w:space="0" w:color="auto"/>
        <w:left w:val="none" w:sz="0" w:space="0" w:color="auto"/>
        <w:bottom w:val="none" w:sz="0" w:space="0" w:color="auto"/>
        <w:right w:val="none" w:sz="0" w:space="0" w:color="auto"/>
      </w:divBdr>
    </w:div>
    <w:div w:id="1409305351">
      <w:bodyDiv w:val="1"/>
      <w:marLeft w:val="0"/>
      <w:marRight w:val="0"/>
      <w:marTop w:val="0"/>
      <w:marBottom w:val="0"/>
      <w:divBdr>
        <w:top w:val="none" w:sz="0" w:space="0" w:color="auto"/>
        <w:left w:val="none" w:sz="0" w:space="0" w:color="auto"/>
        <w:bottom w:val="none" w:sz="0" w:space="0" w:color="auto"/>
        <w:right w:val="none" w:sz="0" w:space="0" w:color="auto"/>
      </w:divBdr>
    </w:div>
    <w:div w:id="17876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723</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Koedijk</dc:creator>
  <cp:lastModifiedBy>Wendy Koedijk</cp:lastModifiedBy>
  <cp:revision>3</cp:revision>
  <dcterms:created xsi:type="dcterms:W3CDTF">2017-09-20T09:14:00Z</dcterms:created>
  <dcterms:modified xsi:type="dcterms:W3CDTF">2017-09-20T12:44:00Z</dcterms:modified>
</cp:coreProperties>
</file>