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:rsid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76FBF">
        <w:rPr>
          <w:rFonts w:asciiTheme="minorHAnsi" w:hAnsiTheme="minorHAnsi" w:cstheme="minorHAnsi"/>
          <w:b/>
          <w:noProof/>
          <w:sz w:val="24"/>
          <w:szCs w:val="24"/>
          <w:lang w:eastAsia="nl-NL"/>
        </w:rPr>
        <w:drawing>
          <wp:inline distT="0" distB="0" distL="0" distR="0">
            <wp:extent cx="1543507" cy="1543507"/>
            <wp:effectExtent l="19050" t="0" r="0" b="0"/>
            <wp:docPr id="5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14" cy="154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FBF">
        <w:rPr>
          <w:rFonts w:asciiTheme="minorHAnsi" w:hAnsiTheme="minorHAnsi" w:cstheme="minorHAnsi"/>
          <w:b/>
          <w:noProof/>
          <w:sz w:val="24"/>
          <w:szCs w:val="24"/>
          <w:lang w:eastAsia="nl-NL"/>
        </w:rPr>
        <w:drawing>
          <wp:inline distT="0" distB="0" distL="0" distR="0">
            <wp:extent cx="2260397" cy="974180"/>
            <wp:effectExtent l="19050" t="0" r="6553" b="0"/>
            <wp:docPr id="6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089" cy="9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FBF">
        <w:rPr>
          <w:rFonts w:asciiTheme="minorHAnsi" w:hAnsiTheme="minorHAnsi" w:cstheme="minorHAnsi"/>
          <w:b/>
          <w:noProof/>
          <w:sz w:val="24"/>
          <w:szCs w:val="24"/>
          <w:lang w:eastAsia="nl-NL"/>
        </w:rPr>
        <w:drawing>
          <wp:inline distT="0" distB="0" distL="0" distR="0">
            <wp:extent cx="1799539" cy="1043212"/>
            <wp:effectExtent l="19050" t="0" r="0" b="0"/>
            <wp:docPr id="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82" cy="10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6FBF">
        <w:rPr>
          <w:rFonts w:asciiTheme="minorHAnsi" w:hAnsiTheme="minorHAnsi" w:cstheme="minorHAnsi"/>
          <w:b/>
          <w:noProof/>
          <w:sz w:val="24"/>
          <w:szCs w:val="24"/>
          <w:lang w:eastAsia="nl-NL"/>
        </w:rPr>
        <w:drawing>
          <wp:inline distT="0" distB="0" distL="0" distR="0">
            <wp:extent cx="2615610" cy="874178"/>
            <wp:effectExtent l="0" t="0" r="0" b="2540"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43" cy="9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:rsidR="00876FBF" w:rsidRP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hAnsiTheme="minorHAnsi" w:cstheme="minorHAnsi"/>
          <w:b/>
          <w:sz w:val="24"/>
          <w:szCs w:val="24"/>
        </w:rPr>
        <w:t xml:space="preserve">Motie “Win Win” </w:t>
      </w:r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HVC -</w:t>
      </w:r>
      <w:proofErr w:type="spellStart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Afvalbrengstation</w:t>
      </w:r>
      <w:proofErr w:type="spellEnd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Den Helder</w:t>
      </w:r>
    </w:p>
    <w:p w:rsidR="00876FBF" w:rsidRPr="00876FBF" w:rsidRDefault="00876FBF" w:rsidP="00876FBF">
      <w:pPr>
        <w:autoSpaceDE w:val="0"/>
        <w:autoSpaceDN w:val="0"/>
        <w:adjustRightInd w:val="0"/>
        <w:spacing w:after="0"/>
        <w:ind w:hanging="567"/>
        <w:jc w:val="right"/>
        <w:rPr>
          <w:rFonts w:asciiTheme="minorHAnsi" w:hAnsiTheme="minorHAnsi" w:cstheme="minorHAnsi"/>
          <w:noProof/>
          <w:sz w:val="24"/>
          <w:szCs w:val="24"/>
          <w:lang w:eastAsia="nl-NL"/>
        </w:rPr>
      </w:pPr>
      <w:r w:rsidRPr="00876FBF">
        <w:rPr>
          <w:rFonts w:asciiTheme="minorHAnsi" w:hAnsiTheme="minorHAnsi" w:cstheme="minorHAnsi"/>
          <w:b/>
          <w:sz w:val="24"/>
          <w:szCs w:val="24"/>
        </w:rPr>
        <w:br/>
      </w:r>
      <w:r w:rsidRPr="00876FBF">
        <w:rPr>
          <w:rFonts w:asciiTheme="minorHAnsi" w:hAnsiTheme="minorHAnsi" w:cstheme="minorHAnsi"/>
          <w:sz w:val="24"/>
          <w:szCs w:val="24"/>
        </w:rPr>
        <w:t>De Raad van de gemeente Den Helder, in</w:t>
      </w:r>
      <w:r w:rsidR="00C447C2">
        <w:rPr>
          <w:rFonts w:asciiTheme="minorHAnsi" w:hAnsiTheme="minorHAnsi" w:cstheme="minorHAnsi"/>
          <w:sz w:val="24"/>
          <w:szCs w:val="24"/>
        </w:rPr>
        <w:t xml:space="preserve"> openbare vergadering bijeen op 30 juni 2020</w:t>
      </w:r>
      <w:r w:rsidRPr="00876FBF">
        <w:rPr>
          <w:rFonts w:asciiTheme="minorHAnsi" w:hAnsiTheme="minorHAnsi" w:cstheme="minorHAnsi"/>
          <w:sz w:val="24"/>
          <w:szCs w:val="24"/>
        </w:rPr>
        <w:br/>
      </w:r>
      <w:r w:rsidRPr="00876FBF">
        <w:rPr>
          <w:rFonts w:asciiTheme="minorHAnsi" w:hAnsiTheme="minorHAnsi" w:cstheme="minorHAnsi"/>
          <w:bCs/>
          <w:sz w:val="24"/>
          <w:szCs w:val="24"/>
        </w:rPr>
        <w:br/>
      </w: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6FBF">
        <w:rPr>
          <w:rFonts w:asciiTheme="minorHAnsi" w:hAnsiTheme="minorHAnsi" w:cstheme="minorHAnsi"/>
          <w:b/>
          <w:sz w:val="24"/>
          <w:szCs w:val="24"/>
        </w:rPr>
        <w:t>Overwegende dat:</w:t>
      </w:r>
    </w:p>
    <w:p w:rsidR="00876FBF" w:rsidRPr="00876FBF" w:rsidRDefault="00876FBF" w:rsidP="00876FBF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recentelijk bewezen is dat de huidige locatie van het HVC inzamelpunt aan de </w:t>
      </w:r>
      <w:proofErr w:type="spellStart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Schootenweg</w:t>
      </w:r>
      <w:proofErr w:type="spellEnd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tot verkeersoverlas</w:t>
      </w:r>
      <w:r w:rsidR="00C447C2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t en onveilige situaties geleid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heeft.</w:t>
      </w:r>
    </w:p>
    <w:p w:rsidR="00876FBF" w:rsidRPr="00876FBF" w:rsidRDefault="00C447C2" w:rsidP="00876FBF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dit </w:t>
      </w:r>
      <w:r w:rsidR="00876FBF"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voorkomen </w:t>
      </w:r>
      <w:r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zou </w:t>
      </w:r>
      <w:r w:rsidR="00876FBF"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kunnen worden door de locatie van het</w:t>
      </w:r>
      <w:r w:rsidR="00876FBF" w:rsidRPr="00876FB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HVC -</w:t>
      </w:r>
      <w:proofErr w:type="spellStart"/>
      <w:r w:rsidR="00876FBF"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Afvalbrengstation</w:t>
      </w:r>
      <w:proofErr w:type="spellEnd"/>
      <w:r w:rsidR="00876FBF"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te wijzigen.</w:t>
      </w:r>
    </w:p>
    <w:p w:rsidR="00876FBF" w:rsidRPr="00876FBF" w:rsidRDefault="00876FBF" w:rsidP="00876FBF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daarmee de huidige locatie vrij zou komen en deze kan worden ingericht</w:t>
      </w:r>
      <w:r w:rsidR="00C447C2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als woonwijk 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, wat een welkome ontwikke</w:t>
      </w:r>
      <w:r w:rsidR="00C447C2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ling zou zijn omdat grond in 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dit deel van gemeente Den Helder schaars is.</w:t>
      </w:r>
    </w:p>
    <w:p w:rsidR="00876FBF" w:rsidRPr="00876FBF" w:rsidRDefault="00876FBF" w:rsidP="00876FBF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daarmee de verkeersrust teruggebracht wordt in betreffend gebied.</w:t>
      </w:r>
    </w:p>
    <w:p w:rsidR="00876FBF" w:rsidRP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b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b/>
          <w:color w:val="222222"/>
          <w:sz w:val="24"/>
          <w:szCs w:val="24"/>
          <w:lang w:eastAsia="nl-NL"/>
        </w:rPr>
        <w:t>Van mening zijnde dat:</w:t>
      </w:r>
    </w:p>
    <w:p w:rsidR="00876FBF" w:rsidRPr="00876FBF" w:rsidRDefault="00876FBF" w:rsidP="00876FB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verplaatsing van het </w:t>
      </w:r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HVC -</w:t>
      </w:r>
      <w:proofErr w:type="spellStart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Afvalbrengstation</w:t>
      </w:r>
      <w:proofErr w:type="spellEnd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Den Helder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eventueel in samenwerking met Hollands kroon en Port of Den Helder nog meer voordelen geeft, wanneer bv gekozen wordt voor een locatie nabij </w:t>
      </w:r>
      <w:proofErr w:type="spellStart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Kooyhaven</w:t>
      </w:r>
      <w:proofErr w:type="spellEnd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, doordat dit gebied dan eindelijk ook ontwikkeld wordt. </w:t>
      </w:r>
    </w:p>
    <w:p w:rsidR="00876FBF" w:rsidRPr="00876FBF" w:rsidRDefault="00876FBF" w:rsidP="00876FB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het verkeer van Julianadorp niet langer de stad in hoeft en </w:t>
      </w:r>
      <w:proofErr w:type="spellStart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Kooyhaven</w:t>
      </w:r>
      <w:proofErr w:type="spellEnd"/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centraal ligt tussen Den Helder, Julianadorp en Hollands kroon. </w:t>
      </w:r>
    </w:p>
    <w:p w:rsidR="00876FBF" w:rsidRPr="00876FBF" w:rsidRDefault="00876FBF" w:rsidP="00876FB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ingezameld vuil voorts per schip naar Alkmaar vervoerd kan worden. 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br/>
        <w:t xml:space="preserve">Dit ontlast het wegverkeer en is tevens milieuvriendelijker. </w:t>
      </w:r>
    </w:p>
    <w:p w:rsidR="00876FBF" w:rsidRPr="00876FBF" w:rsidRDefault="00876FBF" w:rsidP="00876FBF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mocht Hollands kroon te enthousiastmeren zijn dan kunnen de kosten worden gedeeld. Ook HVC zelf kan participeren en de nieuwe locatie inrichten conform alle huidige milieueisen en wetgeving.</w:t>
      </w:r>
    </w:p>
    <w:p w:rsidR="00876FBF" w:rsidRPr="00876FBF" w:rsidRDefault="00876FBF" w:rsidP="00876FBF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> </w:t>
      </w: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6FBF">
        <w:rPr>
          <w:rFonts w:asciiTheme="minorHAnsi" w:hAnsiTheme="minorHAnsi" w:cstheme="minorHAnsi"/>
          <w:b/>
          <w:sz w:val="24"/>
          <w:szCs w:val="24"/>
        </w:rPr>
        <w:t>Verzoekt het college van burgemeester en wethouders:</w:t>
      </w: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76FBF" w:rsidRPr="00876FBF" w:rsidRDefault="00876FBF" w:rsidP="00876FB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te onderzoeken of verplaatsing van het </w:t>
      </w:r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HVC -</w:t>
      </w:r>
      <w:proofErr w:type="spellStart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>Afvalbrengstation</w:t>
      </w:r>
      <w:proofErr w:type="spellEnd"/>
      <w:r w:rsidRPr="00876FB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Den Helder</w:t>
      </w:r>
      <w:r w:rsidRPr="00876FBF"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  <w:t xml:space="preserve"> mogelijk dan wel wenselijk is en daarbij participatie te zoeken bij buurgemeente Hollands kroon.</w:t>
      </w:r>
      <w:r w:rsidRPr="00876FBF">
        <w:rPr>
          <w:rFonts w:asciiTheme="minorHAnsi" w:hAnsiTheme="minorHAnsi" w:cstheme="minorHAnsi"/>
          <w:bCs/>
          <w:sz w:val="24"/>
          <w:szCs w:val="24"/>
        </w:rPr>
        <w:br/>
      </w:r>
    </w:p>
    <w:p w:rsidR="00876FBF" w:rsidRPr="00876FBF" w:rsidRDefault="00876FBF" w:rsidP="00876FBF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Arial"/>
          <w:color w:val="222222"/>
          <w:sz w:val="24"/>
          <w:szCs w:val="24"/>
          <w:lang w:eastAsia="nl-NL"/>
        </w:rPr>
      </w:pPr>
      <w:r w:rsidRPr="00876FBF">
        <w:rPr>
          <w:rFonts w:asciiTheme="minorHAnsi" w:hAnsiTheme="minorHAnsi" w:cstheme="minorHAnsi"/>
          <w:bCs/>
          <w:sz w:val="24"/>
          <w:szCs w:val="24"/>
        </w:rPr>
        <w:t>de bevindingen van dit onderzoek in september 2020 aan de raad voor te leggen.</w:t>
      </w:r>
    </w:p>
    <w:p w:rsidR="00876FBF" w:rsidRPr="00876FBF" w:rsidRDefault="00876FBF" w:rsidP="00876FBF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 w:rsidRPr="00876FBF">
        <w:rPr>
          <w:rFonts w:asciiTheme="minorHAnsi" w:hAnsiTheme="minorHAnsi" w:cstheme="minorHAnsi"/>
          <w:sz w:val="24"/>
          <w:szCs w:val="24"/>
        </w:rPr>
        <w:t>en gaat over tot de orde van de dag.</w:t>
      </w:r>
      <w:r w:rsidR="000D2F84">
        <w:rPr>
          <w:rFonts w:asciiTheme="minorHAnsi" w:hAnsiTheme="minorHAnsi" w:cstheme="minorHAnsi"/>
          <w:sz w:val="24"/>
          <w:szCs w:val="24"/>
        </w:rPr>
        <w:br/>
      </w:r>
      <w:r w:rsidR="000D2F84">
        <w:rPr>
          <w:rFonts w:asciiTheme="minorHAnsi" w:hAnsiTheme="minorHAnsi" w:cstheme="minorHAnsi"/>
          <w:sz w:val="24"/>
          <w:szCs w:val="24"/>
        </w:rPr>
        <w:br/>
      </w:r>
      <w:r w:rsidRPr="00876FBF">
        <w:rPr>
          <w:rFonts w:asciiTheme="minorHAnsi" w:hAnsiTheme="minorHAnsi" w:cstheme="minorHAnsi"/>
          <w:sz w:val="24"/>
          <w:szCs w:val="24"/>
        </w:rPr>
        <w:br/>
      </w:r>
      <w:r w:rsidRPr="00876FBF">
        <w:rPr>
          <w:rFonts w:asciiTheme="minorHAnsi" w:hAnsiTheme="minorHAnsi" w:cstheme="minorHAnsi"/>
          <w:sz w:val="24"/>
          <w:szCs w:val="24"/>
        </w:rPr>
        <w:br/>
      </w:r>
    </w:p>
    <w:p w:rsidR="00876FBF" w:rsidRPr="00876FBF" w:rsidRDefault="00876FBF" w:rsidP="00876FBF">
      <w:pPr>
        <w:ind w:left="708" w:hanging="708"/>
        <w:rPr>
          <w:rFonts w:asciiTheme="minorHAnsi" w:eastAsia="Calibri" w:hAnsiTheme="minorHAnsi" w:cs="Calibri"/>
          <w:b/>
          <w:sz w:val="24"/>
          <w:szCs w:val="24"/>
        </w:rPr>
      </w:pPr>
      <w:r w:rsidRPr="00876FBF">
        <w:rPr>
          <w:rFonts w:asciiTheme="minorHAnsi" w:eastAsia="Calibri" w:hAnsiTheme="minorHAnsi" w:cs="Calibri"/>
          <w:b/>
          <w:sz w:val="24"/>
          <w:szCs w:val="24"/>
        </w:rPr>
        <w:t>S. Hamerslag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  <w:t xml:space="preserve">L.G.J.M. van </w:t>
      </w:r>
      <w:proofErr w:type="spellStart"/>
      <w:r w:rsidRPr="00876FBF">
        <w:rPr>
          <w:rFonts w:asciiTheme="minorHAnsi" w:eastAsia="Calibri" w:hAnsiTheme="minorHAnsi" w:cs="Calibri"/>
          <w:b/>
          <w:sz w:val="24"/>
          <w:szCs w:val="24"/>
        </w:rPr>
        <w:t>Esdonk</w:t>
      </w:r>
      <w:proofErr w:type="spellEnd"/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  <w:t xml:space="preserve">C. van </w:t>
      </w:r>
      <w:proofErr w:type="spellStart"/>
      <w:r w:rsidRPr="00876FBF">
        <w:rPr>
          <w:rFonts w:asciiTheme="minorHAnsi" w:eastAsia="Calibri" w:hAnsiTheme="minorHAnsi" w:cs="Calibri"/>
          <w:b/>
          <w:sz w:val="24"/>
          <w:szCs w:val="24"/>
        </w:rPr>
        <w:t>Driesten</w:t>
      </w:r>
      <w:proofErr w:type="spellEnd"/>
      <w:r w:rsidRPr="00876FBF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  <w:t xml:space="preserve">H.S. </w:t>
      </w:r>
      <w:proofErr w:type="spellStart"/>
      <w:r w:rsidRPr="00876FBF">
        <w:rPr>
          <w:rFonts w:asciiTheme="minorHAnsi" w:eastAsia="Calibri" w:hAnsiTheme="minorHAnsi" w:cs="Calibri"/>
          <w:b/>
          <w:sz w:val="24"/>
          <w:szCs w:val="24"/>
        </w:rPr>
        <w:t>Mosk</w:t>
      </w:r>
      <w:proofErr w:type="spellEnd"/>
    </w:p>
    <w:p w:rsidR="00876FBF" w:rsidRPr="00876FBF" w:rsidRDefault="00876FBF" w:rsidP="00876FBF">
      <w:pPr>
        <w:rPr>
          <w:rFonts w:asciiTheme="minorHAnsi" w:hAnsiTheme="minorHAnsi" w:cstheme="minorHAnsi"/>
          <w:sz w:val="24"/>
          <w:szCs w:val="24"/>
        </w:rPr>
      </w:pPr>
      <w:r w:rsidRPr="00876FBF">
        <w:rPr>
          <w:rFonts w:asciiTheme="minorHAnsi" w:eastAsia="Calibri" w:hAnsiTheme="minorHAnsi" w:cs="Calibri"/>
          <w:b/>
          <w:sz w:val="24"/>
          <w:szCs w:val="24"/>
        </w:rPr>
        <w:t xml:space="preserve">Behoorlijk Bestuur 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  <w:t xml:space="preserve">PVV Den Helder  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proofErr w:type="spellStart"/>
      <w:r w:rsidRPr="00876FBF">
        <w:rPr>
          <w:rFonts w:asciiTheme="minorHAnsi" w:eastAsia="Calibri" w:hAnsiTheme="minorHAnsi" w:cs="Calibri"/>
          <w:b/>
          <w:sz w:val="24"/>
          <w:szCs w:val="24"/>
        </w:rPr>
        <w:t>SeniorenPartij</w:t>
      </w:r>
      <w:proofErr w:type="spellEnd"/>
      <w:r w:rsidRPr="00876FBF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</w:r>
      <w:r w:rsidRPr="00876FBF">
        <w:rPr>
          <w:rFonts w:asciiTheme="minorHAnsi" w:eastAsia="Calibri" w:hAnsiTheme="minorHAnsi" w:cs="Calibri"/>
          <w:b/>
          <w:sz w:val="24"/>
          <w:szCs w:val="24"/>
        </w:rPr>
        <w:tab/>
        <w:t>D66</w:t>
      </w:r>
      <w:r w:rsidRPr="00876FBF">
        <w:rPr>
          <w:rFonts w:asciiTheme="minorHAnsi" w:eastAsia="Calibri" w:hAnsiTheme="minorHAnsi" w:cs="Calibri"/>
          <w:b/>
          <w:sz w:val="24"/>
          <w:szCs w:val="24"/>
        </w:rPr>
        <w:br/>
      </w:r>
    </w:p>
    <w:p w:rsidR="00876FBF" w:rsidRPr="00876FBF" w:rsidRDefault="00876FBF" w:rsidP="00876FBF">
      <w:pPr>
        <w:rPr>
          <w:rFonts w:asciiTheme="minorHAnsi" w:hAnsiTheme="minorHAnsi" w:cstheme="minorHAnsi"/>
          <w:sz w:val="24"/>
          <w:szCs w:val="24"/>
        </w:rPr>
      </w:pPr>
    </w:p>
    <w:p w:rsidR="00EC0D55" w:rsidRPr="00876FBF" w:rsidRDefault="00EC0D55">
      <w:pPr>
        <w:rPr>
          <w:rFonts w:asciiTheme="minorHAnsi" w:hAnsiTheme="minorHAnsi"/>
        </w:rPr>
      </w:pPr>
    </w:p>
    <w:sectPr w:rsidR="00EC0D55" w:rsidRPr="00876FBF" w:rsidSect="00D73EF8">
      <w:pgSz w:w="11906" w:h="16838"/>
      <w:pgMar w:top="709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7"/>
    <w:multiLevelType w:val="hybridMultilevel"/>
    <w:tmpl w:val="5EB019F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C40D2"/>
    <w:multiLevelType w:val="hybridMultilevel"/>
    <w:tmpl w:val="FE687F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663B"/>
    <w:multiLevelType w:val="hybridMultilevel"/>
    <w:tmpl w:val="7DEC59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FBF"/>
    <w:rsid w:val="00077A69"/>
    <w:rsid w:val="000D2F84"/>
    <w:rsid w:val="002D56F5"/>
    <w:rsid w:val="004E2F12"/>
    <w:rsid w:val="007C24E3"/>
    <w:rsid w:val="00876FBF"/>
    <w:rsid w:val="00952A54"/>
    <w:rsid w:val="00A67BBC"/>
    <w:rsid w:val="00C447C2"/>
    <w:rsid w:val="00D34D86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6FBF"/>
    <w:pPr>
      <w:spacing w:after="280" w:line="240" w:lineRule="auto"/>
    </w:pPr>
    <w:rPr>
      <w:rFonts w:ascii="Lucida Sans" w:hAnsi="Lucida Sans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6FB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76F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6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dcterms:created xsi:type="dcterms:W3CDTF">2020-06-20T15:33:00Z</dcterms:created>
  <dcterms:modified xsi:type="dcterms:W3CDTF">2020-06-21T15:43:00Z</dcterms:modified>
</cp:coreProperties>
</file>