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rPr>
      </w:pPr>
      <w:r>
        <w:rPr>
          <w:b/>
          <w:noProof/>
          <w:lang w:eastAsia="nl-NL"/>
        </w:rPr>
        <w:drawing>
          <wp:anchor distT="0" distB="0" distL="114300" distR="114300" simplePos="false" relativeHeight="2" behindDoc="false" locked="false" layoutInCell="true" allowOverlap="true">
            <wp:simplePos x="0" y="0"/>
            <wp:positionH relativeFrom="margin">
              <wp:posOffset>4538345</wp:posOffset>
            </wp:positionH>
            <wp:positionV relativeFrom="margin">
              <wp:posOffset>-230505</wp:posOffset>
            </wp:positionV>
            <wp:extent cx="1465580" cy="1521460"/>
            <wp:effectExtent l="19050" t="0" r="1270" b="0"/>
            <wp:wrapSquare wrapText="bothSides"/>
            <wp:docPr id="1026" name="Afbeelding 0" descr="DH J 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Afbeelding 0"/>
                    <pic:cNvPicPr/>
                  </pic:nvPicPr>
                  <pic:blipFill>
                    <a:blip r:embed="rId2" cstate="print"/>
                    <a:srcRect l="0" t="0" r="0" b="0"/>
                    <a:stretch/>
                  </pic:blipFill>
                  <pic:spPr>
                    <a:xfrm rot="0">
                      <a:off x="0" y="0"/>
                      <a:ext cx="1465580" cy="1521460"/>
                    </a:xfrm>
                    <a:prstGeom prst="rect"/>
                  </pic:spPr>
                </pic:pic>
              </a:graphicData>
            </a:graphic>
          </wp:anchor>
        </w:drawing>
      </w:r>
    </w:p>
    <w:p>
      <w:pPr>
        <w:pStyle w:val="style0"/>
        <w:rPr>
          <w:b/>
        </w:rPr>
      </w:pPr>
    </w:p>
    <w:p>
      <w:pPr>
        <w:pStyle w:val="style0"/>
        <w:rPr>
          <w:b/>
        </w:rPr>
      </w:pPr>
      <w:r>
        <w:rPr>
          <w:b/>
        </w:rPr>
        <w:t>Schriftelijke vragen van de fractie van Behoorlijk Bestuur voor DH &amp; Julianadorp omtren</w:t>
      </w:r>
      <w:r>
        <w:rPr>
          <w:b/>
        </w:rPr>
        <w:t>t leefbaarheid van de Visbuurt</w:t>
      </w:r>
    </w:p>
    <w:p>
      <w:pPr>
        <w:pStyle w:val="style0"/>
        <w:rPr>
          <w:b/>
        </w:rPr>
      </w:pPr>
    </w:p>
    <w:p>
      <w:pPr>
        <w:pStyle w:val="style0"/>
        <w:rPr/>
      </w:pPr>
      <w:r>
        <w:rPr>
          <w:b/>
        </w:rPr>
        <w:tab/>
      </w:r>
      <w:r>
        <w:rPr>
          <w:b/>
        </w:rPr>
        <w:tab/>
      </w:r>
      <w:r>
        <w:rPr>
          <w:b/>
        </w:rPr>
        <w:tab/>
      </w:r>
      <w:r>
        <w:rPr>
          <w:b/>
        </w:rPr>
        <w:tab/>
      </w:r>
      <w:r>
        <w:rPr>
          <w:b/>
        </w:rPr>
        <w:tab/>
      </w:r>
      <w:r>
        <w:rPr>
          <w:b/>
        </w:rPr>
        <w:tab/>
      </w:r>
      <w:r>
        <w:rPr>
          <w:b/>
        </w:rPr>
        <w:tab/>
      </w:r>
      <w:r>
        <w:rPr>
          <w:b/>
        </w:rPr>
        <w:tab/>
      </w:r>
      <w:r>
        <w:rPr>
          <w:b/>
        </w:rPr>
        <w:tab/>
      </w:r>
      <w:r>
        <w:t>23 augustus 2021</w:t>
      </w:r>
    </w:p>
    <w:p>
      <w:pPr>
        <w:pStyle w:val="style0"/>
        <w:rPr/>
      </w:pPr>
      <w:r>
        <w:t>Geacht college,</w:t>
      </w:r>
    </w:p>
    <w:p>
      <w:pPr>
        <w:pStyle w:val="style0"/>
        <w:rPr/>
      </w:pPr>
      <w:r>
        <w:t>Onze fractie heeft nauw contact met diverse buurtbewoners uit de Visbuurt</w:t>
      </w:r>
      <w:r>
        <w:t xml:space="preserve">, maakt </w:t>
      </w:r>
      <w:r>
        <w:t>regelmatig een rondgang door deze buurt</w:t>
      </w:r>
      <w:r>
        <w:t xml:space="preserve"> en schuift</w:t>
      </w:r>
      <w:r>
        <w:t xml:space="preserve"> er</w:t>
      </w:r>
      <w:r>
        <w:t xml:space="preserve"> één fractielid aan bij het veiligheidsoverleg in de buurt</w:t>
      </w:r>
      <w:r>
        <w:t xml:space="preserve">. </w:t>
      </w:r>
      <w:r>
        <w:t>Wij constateren al langer</w:t>
      </w:r>
      <w:r>
        <w:t>e</w:t>
      </w:r>
      <w:r>
        <w:t xml:space="preserve"> tijd dat de buurt er qua leefbaarheid op achteruit gaat. </w:t>
      </w:r>
      <w:r>
        <w:t>Hier</w:t>
      </w:r>
      <w:r>
        <w:t>om</w:t>
      </w:r>
      <w:r>
        <w:t xml:space="preserve"> hebben wij enkele punten die wij bij u als college onder de aandacht willen brengen.</w:t>
      </w:r>
      <w:r>
        <w:br/>
      </w:r>
    </w:p>
    <w:p>
      <w:pPr>
        <w:pStyle w:val="style0"/>
        <w:rPr>
          <w:b/>
        </w:rPr>
      </w:pPr>
      <w:r>
        <w:rPr>
          <w:b/>
        </w:rPr>
        <w:t>In de Visbuurt zijn er in onze ogen te</w:t>
      </w:r>
      <w:r>
        <w:rPr>
          <w:b/>
        </w:rPr>
        <w:t xml:space="preserve"> </w:t>
      </w:r>
      <w:r>
        <w:rPr>
          <w:b/>
        </w:rPr>
        <w:t>veel panden die opgekocht worden en dan in de verhuur</w:t>
      </w:r>
      <w:r>
        <w:rPr>
          <w:b/>
        </w:rPr>
        <w:t xml:space="preserve"> gaan</w:t>
      </w:r>
      <w:r>
        <w:rPr>
          <w:b/>
        </w:rPr>
        <w:t xml:space="preserve"> al of niet opgedeeld in meerdere kamers. Nu heeft de gemeenteraad een </w:t>
      </w:r>
      <w:r>
        <w:rPr>
          <w:b/>
        </w:rPr>
        <w:t>zelfbewoningsp</w:t>
      </w:r>
      <w:r>
        <w:rPr>
          <w:b/>
        </w:rPr>
        <w:t>l</w:t>
      </w:r>
      <w:r>
        <w:rPr>
          <w:b/>
        </w:rPr>
        <w:t>icht</w:t>
      </w:r>
      <w:r>
        <w:rPr>
          <w:b/>
        </w:rPr>
        <w:t xml:space="preserve"> aan genomen</w:t>
      </w:r>
      <w:r>
        <w:rPr>
          <w:b/>
        </w:rPr>
        <w:t>, ook h</w:t>
      </w:r>
      <w:r>
        <w:rPr>
          <w:b/>
        </w:rPr>
        <w:t>ierover hebben wij in de uitvoering enkele vragen.</w:t>
      </w:r>
      <w:r>
        <w:rPr>
          <w:b/>
        </w:rPr>
        <w:br/>
      </w:r>
    </w:p>
    <w:p>
      <w:pPr>
        <w:pStyle w:val="style179"/>
        <w:numPr>
          <w:ilvl w:val="0"/>
          <w:numId w:val="1"/>
        </w:numPr>
        <w:rPr/>
      </w:pPr>
      <w:r>
        <w:t xml:space="preserve">Deze </w:t>
      </w:r>
      <w:r>
        <w:t>zelfbewoningsplicht</w:t>
      </w:r>
      <w:r>
        <w:t>,geldt deze enkel voor panden gekocht na datum van het in gaan van deze plicht?</w:t>
      </w:r>
    </w:p>
    <w:p>
      <w:pPr>
        <w:pStyle w:val="style179"/>
        <w:numPr>
          <w:ilvl w:val="0"/>
          <w:numId w:val="1"/>
        </w:numPr>
        <w:rPr/>
      </w:pPr>
      <w:r>
        <w:t>Hoe en welke instrumenten heeft de gemeente in het kader van deze zelfbewoningplicht richting bestaande panden die momenteel in handen zijn van wat wij in de volksmond als ‘huisjesmelkers’ noemen?</w:t>
      </w:r>
    </w:p>
    <w:p>
      <w:pPr>
        <w:pStyle w:val="style179"/>
        <w:numPr>
          <w:ilvl w:val="0"/>
          <w:numId w:val="1"/>
        </w:numPr>
        <w:rPr/>
      </w:pPr>
      <w:r>
        <w:t>Wie is er verantwoordelijk wanneer er in desbetreffende panden criminele handelingen worden verricht?</w:t>
      </w:r>
    </w:p>
    <w:p>
      <w:pPr>
        <w:pStyle w:val="style179"/>
        <w:numPr>
          <w:ilvl w:val="0"/>
          <w:numId w:val="1"/>
        </w:numPr>
        <w:rPr/>
      </w:pPr>
      <w:r>
        <w:t xml:space="preserve">Wie is er verantwoordelijk wanneer huurders van desbetreffende panden voor overmatige overlast in de buurt zorgen? </w:t>
      </w:r>
    </w:p>
    <w:p>
      <w:pPr>
        <w:pStyle w:val="style179"/>
        <w:numPr>
          <w:ilvl w:val="0"/>
          <w:numId w:val="1"/>
        </w:numPr>
        <w:rPr/>
      </w:pPr>
      <w:r>
        <w:t xml:space="preserve">Bent u op de hoogte dat o.a. in de </w:t>
      </w:r>
      <w:r>
        <w:t>Vis-Vijzel</w:t>
      </w:r>
      <w:r>
        <w:t xml:space="preserve"> en </w:t>
      </w:r>
      <w:r>
        <w:t>Beukenkampstraat</w:t>
      </w:r>
      <w:r>
        <w:t xml:space="preserve"> drugsdealers wonen waarde aan en afvoer van de drugshandel voor veel verkeer van auto’s en scooters zorgt.</w:t>
      </w:r>
      <w:r>
        <w:br/>
      </w:r>
      <w:r>
        <w:t>Deze met hoge snelheid door de buurt en diverse straten rijden en, dit voor de vele kleine kinderen die de buurt rijk is,zeer gevaarlijke situaties doet ontstaan?</w:t>
      </w:r>
      <w:r>
        <w:br/>
      </w:r>
      <w:r>
        <w:t>&gt;Zo ja, wat gaat u hieraan doen?</w:t>
      </w:r>
      <w:r>
        <w:br/>
      </w:r>
      <w:r>
        <w:t>&gt;Zo nee, waarom niet? En nu u hiervan hoort, wat gaat u hieraan doen om ongevallen en overlast verder te voorkomen?</w:t>
      </w:r>
    </w:p>
    <w:p>
      <w:pPr>
        <w:pStyle w:val="style179"/>
        <w:numPr>
          <w:ilvl w:val="0"/>
          <w:numId w:val="1"/>
        </w:numPr>
        <w:rPr/>
      </w:pPr>
      <w:r>
        <w:t>Wat is rol het GGZ bij vermoedens van crimineel gedrag van één van hun cliënten, bijvoorbeeld bij het verbouwen en of dealen van wiet?</w:t>
      </w:r>
      <w:r>
        <w:br/>
      </w:r>
      <w:r>
        <w:t>&gt;heeft u cijfers hierover?</w:t>
      </w:r>
    </w:p>
    <w:p>
      <w:pPr>
        <w:pStyle w:val="style179"/>
        <w:numPr>
          <w:ilvl w:val="0"/>
          <w:numId w:val="1"/>
        </w:numPr>
        <w:rPr/>
      </w:pPr>
      <w:r>
        <w:t xml:space="preserve">Wanneer is er voldoende overlast voor de omgeving, veroorzaakt door een </w:t>
      </w:r>
      <w:r>
        <w:t>GGZ-client</w:t>
      </w:r>
      <w:r>
        <w:t>, dat de GGZ besluit in te grijpen?</w:t>
      </w:r>
    </w:p>
    <w:p>
      <w:pPr>
        <w:pStyle w:val="style179"/>
        <w:numPr>
          <w:ilvl w:val="0"/>
          <w:numId w:val="1"/>
        </w:numPr>
        <w:rPr/>
      </w:pPr>
      <w:r>
        <w:t xml:space="preserve">Bij welke instantie kunnen bewoners terecht als zij worden geterroriseerd door een </w:t>
      </w:r>
      <w:r>
        <w:t>GGZ-cliënt</w:t>
      </w:r>
      <w:r>
        <w:t xml:space="preserve">, aangezien het oppakken van deze mensen geen taak voor de politie is en er zwaar bezuinigd is op de </w:t>
      </w:r>
      <w:r>
        <w:t>GGZ-zorg</w:t>
      </w:r>
      <w:r>
        <w:t>. Wij zijn van mening dat deze last niet bij de bewoners dient te liggen.</w:t>
      </w:r>
    </w:p>
    <w:p>
      <w:pPr>
        <w:pStyle w:val="style0"/>
        <w:rPr/>
      </w:pPr>
    </w:p>
    <w:p>
      <w:pPr>
        <w:pStyle w:val="style0"/>
        <w:ind w:left="360"/>
        <w:rPr>
          <w:b/>
        </w:rPr>
      </w:pPr>
      <w:r>
        <w:br/>
      </w:r>
      <w:r>
        <w:rPr>
          <w:b/>
        </w:rPr>
        <w:t>Foutparkeren:</w:t>
      </w:r>
    </w:p>
    <w:p>
      <w:pPr>
        <w:pStyle w:val="style0"/>
        <w:ind w:left="360"/>
        <w:rPr/>
      </w:pPr>
      <w:r>
        <w:t>Handhaving kan natuurlijk een instrument zijn, echter vragen wij ons af of we dan het doel wel kunnen bewerkstelligen. In onze ogen is handhaving een prima middel mits er gehandhaafd wordt waar een alternatief voorhanden is. Bijvoorbeeld handhaven op foutparkeren is rechtsgeldig, maar wanneer bewoners geen alternatief hebben zal er na beboeting toch weer gauw foutgeparkeerd worden.</w:t>
      </w:r>
    </w:p>
    <w:p>
      <w:pPr>
        <w:pStyle w:val="style0"/>
        <w:ind w:left="360"/>
        <w:rPr/>
      </w:pPr>
      <w:r>
        <w:rPr>
          <w:b/>
        </w:rPr>
        <w:t>Het viel het ons op dat met minimale middelen en ingrepen het parkeerprobleem in de buurt tijdelijk dan wel structureel(deels)op te lossen zijn door middel van bijvoorbeeld,</w:t>
      </w:r>
    </w:p>
    <w:p>
      <w:pPr>
        <w:pStyle w:val="style179"/>
        <w:numPr>
          <w:ilvl w:val="0"/>
          <w:numId w:val="1"/>
        </w:numPr>
        <w:rPr/>
      </w:pPr>
      <w:r>
        <w:t>Na inventarisatie, vinden wij diverse plekken in de buurt die geschikt zijn, middels steekvakken geparkeerd zou kunnen worden. Hiervoor hoeft dikwijls de straat niet open maar kan er door belijning al veel parkeerwinst behaald worden.</w:t>
      </w:r>
    </w:p>
    <w:p>
      <w:pPr>
        <w:pStyle w:val="style179"/>
        <w:numPr>
          <w:ilvl w:val="0"/>
          <w:numId w:val="1"/>
        </w:numPr>
        <w:rPr/>
      </w:pPr>
      <w:r>
        <w:t>Door het nauwkeuriger aanbrengen van belijning op bestaande parkeerplaatsen, waardoor er meer auto’s kunnen parkeren.</w:t>
      </w:r>
      <w:r>
        <w:br/>
      </w:r>
      <w:r>
        <w:t>&gt;bent u bereid om de buurt te inventariseren en hierover met een plan te komen?</w:t>
      </w:r>
      <w:r>
        <w:br/>
      </w:r>
      <w:r>
        <w:t>Zo nee, waarom niet?</w:t>
      </w:r>
    </w:p>
    <w:p>
      <w:pPr>
        <w:pStyle w:val="style0"/>
        <w:ind w:left="360"/>
        <w:rPr/>
      </w:pPr>
      <w:r>
        <w:rPr>
          <w:b/>
        </w:rPr>
        <w:t>H</w:t>
      </w:r>
      <w:r>
        <w:rPr>
          <w:b/>
        </w:rPr>
        <w:t>erinrichting en verkeerscirculatie</w:t>
      </w:r>
      <w:r>
        <w:t xml:space="preserve"> kan bv door bebording al een flinke verbetering teweeg brengen</w:t>
      </w:r>
      <w:r>
        <w:t>.</w:t>
      </w:r>
    </w:p>
    <w:p>
      <w:pPr>
        <w:pStyle w:val="style179"/>
        <w:numPr>
          <w:ilvl w:val="0"/>
          <w:numId w:val="1"/>
        </w:numPr>
        <w:rPr/>
      </w:pPr>
      <w:r>
        <w:t>B</w:t>
      </w:r>
      <w:r>
        <w:t>ent u bereid om de buurt te inventariseren en hierover met een plan te komen?</w:t>
      </w:r>
      <w:r>
        <w:br/>
      </w:r>
      <w:r>
        <w:t>&gt;</w:t>
      </w:r>
      <w:r>
        <w:t>Zo nee, waarom niet?</w:t>
      </w:r>
    </w:p>
    <w:p>
      <w:pPr>
        <w:pStyle w:val="style179"/>
        <w:numPr>
          <w:ilvl w:val="0"/>
          <w:numId w:val="1"/>
        </w:numPr>
        <w:rPr/>
      </w:pPr>
      <w:r>
        <w:t xml:space="preserve">In het verleden heeft de buurt </w:t>
      </w:r>
      <w:r>
        <w:t>nav</w:t>
      </w:r>
      <w:r>
        <w:t xml:space="preserve"> een burgerinspraak aan gegeven vóór een </w:t>
      </w:r>
      <w:r>
        <w:t>éénrichting-</w:t>
      </w:r>
      <w:r>
        <w:t>inrichting</w:t>
      </w:r>
      <w:r>
        <w:t xml:space="preserve"> te zijn. </w:t>
      </w:r>
      <w:r>
        <w:t>(</w:t>
      </w:r>
      <w:r>
        <w:rPr>
          <w:i/>
        </w:rPr>
        <w:t>Ook</w:t>
      </w:r>
      <w:r>
        <w:rPr>
          <w:i/>
        </w:rPr>
        <w:t xml:space="preserve"> </w:t>
      </w:r>
      <w:r>
        <w:rPr>
          <w:i/>
        </w:rPr>
        <w:t xml:space="preserve">dit </w:t>
      </w:r>
      <w:r>
        <w:rPr>
          <w:i/>
        </w:rPr>
        <w:t xml:space="preserve">zou </w:t>
      </w:r>
      <w:r>
        <w:rPr>
          <w:i/>
        </w:rPr>
        <w:t>meer mogelijkheden tot parkeren zou creëren</w:t>
      </w:r>
      <w:r>
        <w:rPr>
          <w:i/>
        </w:rPr>
        <w:t>)</w:t>
      </w:r>
      <w:r>
        <w:t>.</w:t>
      </w:r>
      <w:r>
        <w:br/>
      </w:r>
      <w:r>
        <w:br/>
      </w:r>
      <w:r>
        <w:t xml:space="preserve"> </w:t>
      </w:r>
      <w:r>
        <w:t>Uw organisatie heeft dit echter afgeserveerd omdat de tweerichting inrichting een snelheid beperkende werking zou hebben.</w:t>
      </w:r>
      <w:r>
        <w:br/>
      </w:r>
      <w:r>
        <w:t>&gt;bent u bereid om op de</w:t>
      </w:r>
      <w:r>
        <w:t xml:space="preserve"> beslissing van uw afdeling verkeer </w:t>
      </w:r>
      <w:r>
        <w:t>terug te komen en de wens van de buurtbewoners nogmaals te inventariseren en in te willigen?</w:t>
      </w:r>
      <w:r>
        <w:br/>
      </w:r>
      <w:r>
        <w:t>&gt;zo nee, waarom niet?</w:t>
      </w:r>
      <w:r>
        <w:br/>
      </w:r>
      <w:r>
        <w:t>&gt;Zo nee, mogen wij hieruit concluderen dat uw inspraak in feite een schijn instrument voor de burger is?</w:t>
      </w:r>
    </w:p>
    <w:p>
      <w:pPr>
        <w:pStyle w:val="style0"/>
        <w:rPr>
          <w:i/>
        </w:rPr>
      </w:pPr>
      <w:r>
        <w:rPr>
          <w:b/>
        </w:rPr>
        <w:t>Hardrijden</w:t>
      </w:r>
      <w:r>
        <w:t>, in diverse straten wordt vaak hard gereden door scooters, brommers en auto’s</w:t>
      </w:r>
      <w:r>
        <w:t xml:space="preserve">. </w:t>
      </w:r>
      <w:r>
        <w:br/>
      </w:r>
      <w:r>
        <w:t>Wij kunnen u beeldmateriaal sturen die wij via ons meldpunt hierover binnen hebben gekregen, waarvan ook u net als wij zal schrikken</w:t>
      </w:r>
      <w:r>
        <w:rPr>
          <w:i/>
        </w:rPr>
        <w:t>.</w:t>
      </w:r>
    </w:p>
    <w:p>
      <w:pPr>
        <w:pStyle w:val="style179"/>
        <w:numPr>
          <w:ilvl w:val="0"/>
          <w:numId w:val="1"/>
        </w:numPr>
        <w:rPr/>
      </w:pPr>
      <w:r>
        <w:t>Wat bent u bereid te doen aan deze overlast en onveilige situatie in deze dichtbevolkte vooroorlogse woonwijk?</w:t>
      </w:r>
    </w:p>
    <w:p>
      <w:pPr>
        <w:pStyle w:val="style0"/>
        <w:rPr/>
      </w:pPr>
    </w:p>
    <w:p>
      <w:pPr>
        <w:pStyle w:val="style0"/>
        <w:rPr/>
      </w:pPr>
      <w:r>
        <w:t>Namens de fractie van Behoorlijk Bestuur voor DH &amp; Julianadorp</w:t>
      </w:r>
    </w:p>
    <w:p>
      <w:pPr>
        <w:pStyle w:val="style0"/>
        <w:rPr/>
      </w:pPr>
      <w:r>
        <w:t>Sylvia Hamerslag</w:t>
      </w:r>
    </w:p>
    <w:p>
      <w:pPr>
        <w:pStyle w:val="style0"/>
        <w:rPr/>
      </w:pPr>
    </w:p>
    <w:p>
      <w:pPr>
        <w:pStyle w:val="style0"/>
        <w:rPr/>
      </w:pPr>
    </w:p>
    <w:p>
      <w:pPr>
        <w:pStyle w:val="style0"/>
        <w:rPr/>
      </w:pPr>
    </w:p>
    <w:p>
      <w:pPr>
        <w:pStyle w:val="style0"/>
        <w:rPr>
          <w:sz w:val="18"/>
          <w:szCs w:val="18"/>
        </w:rPr>
      </w:pPr>
      <w:r>
        <w:rPr>
          <w:b/>
          <w:bCs/>
          <w:sz w:val="18"/>
          <w:szCs w:val="18"/>
        </w:rPr>
        <w:t>Bijsluiter</w:t>
      </w:r>
      <w:r>
        <w:rPr>
          <w:sz w:val="18"/>
          <w:szCs w:val="18"/>
        </w:rPr>
        <w:br/>
      </w:r>
      <w:r>
        <w:rPr>
          <w:sz w:val="18"/>
          <w:szCs w:val="18"/>
        </w:rP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pPr>
        <w:pStyle w:val="style0"/>
        <w:rPr>
          <w:sz w:val="18"/>
          <w:szCs w:val="18"/>
        </w:rPr>
      </w:pPr>
      <w:r>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pPr>
        <w:pStyle w:val="style0"/>
        <w:rPr>
          <w:sz w:val="18"/>
          <w:szCs w:val="18"/>
        </w:rPr>
      </w:pPr>
      <w:r>
        <w:rPr>
          <w:sz w:val="18"/>
          <w:szCs w:val="18"/>
        </w:rPr>
        <w:t xml:space="preserve">Wij verwijzen dan ook graag naar de citaten uit de </w:t>
      </w:r>
      <w:r>
        <w:rPr>
          <w:b/>
          <w:sz w:val="18"/>
          <w:szCs w:val="18"/>
        </w:rPr>
        <w:t>nota passieve en actieve informatieplicht</w:t>
      </w:r>
      <w:r>
        <w:rPr>
          <w:sz w:val="18"/>
          <w:szCs w:val="18"/>
        </w:rPr>
        <w:t>.</w:t>
      </w:r>
      <w:r>
        <w:rPr>
          <w:sz w:val="18"/>
          <w:szCs w:val="18"/>
        </w:rPr>
        <w:br/>
      </w:r>
      <w:r>
        <w:rPr>
          <w:sz w:val="18"/>
          <w:szCs w:val="18"/>
        </w:rPr>
        <w:br/>
      </w:r>
      <w:r>
        <w:rPr>
          <w:sz w:val="18"/>
          <w:szCs w:val="18"/>
        </w:rPr>
        <w:t xml:space="preserve"> Daarbij verwijzen wij u naar onderstaand citaat uit de nota op blz. 7:</w:t>
      </w:r>
    </w:p>
    <w:p>
      <w:pPr>
        <w:pStyle w:val="style0"/>
        <w:ind w:left="708"/>
        <w:rPr>
          <w:i/>
          <w:iCs/>
          <w:sz w:val="18"/>
          <w:szCs w:val="18"/>
        </w:rPr>
      </w:pPr>
      <w:r>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pPr>
        <w:pStyle w:val="style0"/>
        <w:ind w:left="708"/>
        <w:rPr>
          <w:i/>
          <w:iCs/>
          <w:sz w:val="18"/>
          <w:szCs w:val="18"/>
        </w:rPr>
      </w:pPr>
    </w:p>
    <w:p>
      <w:pPr>
        <w:pStyle w:val="style0"/>
        <w:rPr>
          <w:sz w:val="18"/>
          <w:szCs w:val="18"/>
        </w:rPr>
      </w:pPr>
      <w:r>
        <w:rPr>
          <w:sz w:val="18"/>
          <w:szCs w:val="18"/>
        </w:rPr>
        <w:t>Tevens verwijzen wij ook graag naar pagina 10 van de nota:</w:t>
      </w:r>
    </w:p>
    <w:p>
      <w:pPr>
        <w:pStyle w:val="style0"/>
        <w:autoSpaceDE w:val="false"/>
        <w:autoSpaceDN w:val="false"/>
        <w:adjustRightInd w:val="false"/>
        <w:ind w:firstLine="708"/>
        <w:rPr>
          <w:rFonts w:cs="Calibri"/>
          <w:b/>
          <w:bCs/>
          <w:i/>
          <w:iCs/>
          <w:color w:val="000000"/>
          <w:sz w:val="18"/>
          <w:szCs w:val="18"/>
        </w:rPr>
      </w:pPr>
      <w:r>
        <w:rPr>
          <w:rFonts w:cs="Calibri"/>
          <w:b/>
          <w:bCs/>
          <w:i/>
          <w:iCs/>
          <w:color w:val="000000"/>
          <w:sz w:val="18"/>
          <w:szCs w:val="18"/>
        </w:rPr>
        <w:t xml:space="preserve">Passieve informatieplicht </w:t>
      </w:r>
    </w:p>
    <w:p>
      <w:pPr>
        <w:pStyle w:val="style0"/>
        <w:ind w:left="708"/>
        <w:rPr>
          <w:rFonts w:cs="Calibri"/>
          <w:i/>
          <w:iCs/>
          <w:sz w:val="18"/>
          <w:szCs w:val="18"/>
        </w:rPr>
      </w:pPr>
      <w:r>
        <w:rPr>
          <w:rFonts w:cs="Calibr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pPr>
        <w:pStyle w:val="style4098"/>
        <w:numPr>
          <w:ilvl w:val="0"/>
          <w:numId w:val="8"/>
        </w:numPr>
        <w:rPr>
          <w:rFonts w:ascii="Calibri" w:cs="Calibri" w:hAnsi="Calibri"/>
          <w:i/>
          <w:iCs/>
          <w:sz w:val="18"/>
          <w:szCs w:val="18"/>
        </w:rPr>
      </w:pPr>
      <w:r>
        <w:rPr>
          <w:rFonts w:ascii="Calibri" w:cs="Calibri" w:hAnsi="Calibri"/>
          <w:i/>
          <w:iCs/>
          <w:sz w:val="18"/>
          <w:szCs w:val="18"/>
        </w:rPr>
        <w:t xml:space="preserve">Inlichtingen als bedoeld in artikel 169 lid 4 van de Gemeentewet. Dit zijn inlichtingen over: </w:t>
      </w:r>
    </w:p>
    <w:p>
      <w:pPr>
        <w:pStyle w:val="style4098"/>
        <w:numPr>
          <w:ilvl w:val="1"/>
          <w:numId w:val="7"/>
        </w:numPr>
        <w:ind w:left="1440" w:hanging="360"/>
        <w:rPr>
          <w:rFonts w:ascii="Calibri" w:cs="Calibri" w:hAnsi="Calibri"/>
          <w:i/>
          <w:iCs/>
          <w:sz w:val="18"/>
          <w:szCs w:val="18"/>
        </w:rPr>
      </w:pPr>
      <w:r>
        <w:rPr>
          <w:rFonts w:ascii="Calibri" w:cs="Calibri" w:hAnsi="Calibri"/>
          <w:i/>
          <w:iCs/>
          <w:sz w:val="18"/>
          <w:szCs w:val="18"/>
        </w:rPr>
        <w:t xml:space="preserve">- privaatrechtelijke rechtshandelingen; </w:t>
      </w:r>
    </w:p>
    <w:p>
      <w:pPr>
        <w:pStyle w:val="style4098"/>
        <w:numPr>
          <w:ilvl w:val="1"/>
          <w:numId w:val="7"/>
        </w:numPr>
        <w:ind w:left="1440" w:hanging="360"/>
        <w:rPr>
          <w:rFonts w:ascii="Calibri" w:cs="Calibri" w:hAnsi="Calibri"/>
          <w:i/>
          <w:iCs/>
          <w:sz w:val="18"/>
          <w:szCs w:val="18"/>
        </w:rPr>
      </w:pPr>
      <w:r>
        <w:rPr>
          <w:rFonts w:ascii="Calibri" w:cs="Calibri" w:hAnsi="Calibri"/>
          <w:i/>
          <w:iCs/>
          <w:sz w:val="18"/>
          <w:szCs w:val="18"/>
        </w:rPr>
        <w:t xml:space="preserve">- rechtsgedingen; </w:t>
      </w:r>
    </w:p>
    <w:p>
      <w:pPr>
        <w:pStyle w:val="style4098"/>
        <w:numPr>
          <w:ilvl w:val="1"/>
          <w:numId w:val="7"/>
        </w:numPr>
        <w:ind w:left="1440" w:hanging="360"/>
        <w:rPr>
          <w:rFonts w:ascii="Calibri" w:cs="Calibri" w:hAnsi="Calibri"/>
          <w:i/>
          <w:iCs/>
          <w:sz w:val="18"/>
          <w:szCs w:val="18"/>
        </w:rPr>
      </w:pPr>
      <w:r>
        <w:rPr>
          <w:rFonts w:ascii="Calibri" w:cs="Calibri" w:hAnsi="Calibri"/>
          <w:i/>
          <w:iCs/>
          <w:sz w:val="18"/>
          <w:szCs w:val="18"/>
        </w:rPr>
        <w:t xml:space="preserve">- bezwaarprocedures of administratieve beroepsprocedures of handelingen ter voorbereiding daarop; </w:t>
      </w:r>
    </w:p>
    <w:p>
      <w:pPr>
        <w:pStyle w:val="style4098"/>
        <w:numPr>
          <w:ilvl w:val="1"/>
          <w:numId w:val="7"/>
        </w:numPr>
        <w:ind w:left="1440" w:hanging="360"/>
        <w:rPr>
          <w:rFonts w:ascii="Calibri" w:cs="Calibri" w:hAnsi="Calibri"/>
          <w:i/>
          <w:iCs/>
          <w:sz w:val="18"/>
          <w:szCs w:val="18"/>
        </w:rPr>
      </w:pPr>
      <w:r>
        <w:rPr>
          <w:rFonts w:ascii="Calibri" w:cs="Calibri" w:hAnsi="Calibri"/>
          <w:i/>
          <w:iCs/>
          <w:sz w:val="18"/>
          <w:szCs w:val="18"/>
        </w:rPr>
        <w:t xml:space="preserve">- voorbereiding van civiele verdediging; </w:t>
      </w:r>
    </w:p>
    <w:p>
      <w:pPr>
        <w:pStyle w:val="style4098"/>
        <w:numPr>
          <w:ilvl w:val="1"/>
          <w:numId w:val="7"/>
        </w:numPr>
        <w:ind w:left="1440" w:hanging="360"/>
        <w:rPr>
          <w:rFonts w:ascii="Calibri" w:cs="Calibri" w:hAnsi="Calibri"/>
          <w:i/>
          <w:iCs/>
          <w:sz w:val="18"/>
          <w:szCs w:val="18"/>
        </w:rPr>
      </w:pPr>
      <w:r>
        <w:rPr>
          <w:rFonts w:ascii="Calibri" w:cs="Calibri" w:hAnsi="Calibri"/>
          <w:i/>
          <w:iCs/>
          <w:sz w:val="18"/>
          <w:szCs w:val="18"/>
        </w:rPr>
        <w:t xml:space="preserve">- instellen, afschaffen of veranderen van jaarmarkten of gewone marktdagen. </w:t>
      </w:r>
    </w:p>
    <w:p>
      <w:pPr>
        <w:pStyle w:val="style4098"/>
        <w:ind w:left="1080"/>
        <w:rPr>
          <w:rFonts w:ascii="Calibri" w:cs="Calibri" w:hAnsi="Calibri"/>
          <w:i/>
          <w:iCs/>
          <w:sz w:val="18"/>
          <w:szCs w:val="18"/>
        </w:rPr>
      </w:pPr>
      <w:r>
        <w:rPr>
          <w:rFonts w:ascii="Calibri" w:cs="Calibri" w:hAnsi="Calibri"/>
          <w:i/>
          <w:iCs/>
          <w:sz w:val="18"/>
          <w:szCs w:val="18"/>
        </w:rPr>
        <w:t xml:space="preserve">Het college verstrekt deze inlichtingen indien de raad daarom verzoekt (of indien de uitoefening van deze bevoegdheden ingrijpende gevolgen kan hebben voor de gemeente) </w:t>
      </w:r>
    </w:p>
    <w:p>
      <w:pPr>
        <w:pStyle w:val="style0"/>
        <w:rPr/>
      </w:pPr>
    </w:p>
    <w:sectPr>
      <w:pgSz w:w="11906" w:h="16838" w:orient="portrait"/>
      <w:pgMar w:top="851" w:right="141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85A35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cs="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cs="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cs="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C8DE76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0000002"/>
    <w:multiLevelType w:val="hybridMultilevel"/>
    <w:tmpl w:val="92B68B8A"/>
    <w:lvl w:ilvl="0">
      <w:start w:val="1"/>
      <w:numFmt w:val="ideographDigital"/>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3">
    <w:nsid w:val="00000003"/>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cs="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cs="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cs="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00000004"/>
    <w:multiLevelType w:val="hybridMultilevel"/>
    <w:tmpl w:val="F048A8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0000005"/>
    <w:multiLevelType w:val="hybridMultilevel"/>
    <w:tmpl w:val="AFB08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cs="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cs="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cs="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6E3084AE"/>
    <w:lvl w:ilvl="0" w:tplc="49B41260">
      <w:start w:val="10"/>
      <w:numFmt w:val="bullet"/>
      <w:lvlText w:val=""/>
      <w:lvlJc w:val="left"/>
      <w:pPr>
        <w:ind w:left="1080" w:hanging="360"/>
      </w:pPr>
      <w:rPr>
        <w:rFonts w:ascii="Wingdings" w:cs="宋体" w:eastAsia="Calibri" w:hAnsi="Wingdings" w:hint="default"/>
      </w:rPr>
    </w:lvl>
    <w:lvl w:ilvl="1" w:tplc="04130003" w:tentative="1">
      <w:start w:val="1"/>
      <w:numFmt w:val="bullet"/>
      <w:lvlText w:val="o"/>
      <w:lvlJc w:val="left"/>
      <w:pPr>
        <w:ind w:left="1800" w:hanging="360"/>
      </w:pPr>
      <w:rPr>
        <w:rFonts w:ascii="Courier New" w:cs="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cs="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cs="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79FE71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nl-NL"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ntekst Char"/>
    <w:basedOn w:val="style65"/>
    <w:next w:val="style4097"/>
    <w:link w:val="style153"/>
    <w:uiPriority w:val="99"/>
    <w:rPr>
      <w:rFonts w:ascii="Tahoma" w:cs="Tahoma" w:hAnsi="Tahoma"/>
      <w:sz w:val="16"/>
      <w:szCs w:val="16"/>
    </w:rPr>
  </w:style>
  <w:style w:type="paragraph" w:customStyle="1" w:styleId="style4098">
    <w:name w:val="Default"/>
    <w:next w:val="style4098"/>
    <w:pPr>
      <w:autoSpaceDE w:val="false"/>
      <w:autoSpaceDN w:val="false"/>
      <w:adjustRightInd w:val="false"/>
      <w:spacing w:after="0" w:lineRule="auto" w:line="240"/>
    </w:pPr>
    <w:rPr>
      <w:rFonts w:ascii="Times New Roman" w:cs="Times New Roman" w:hAnsi="Times New Roman"/>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ACAC-BDD9-4ED4-AB70-C017C295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Words>1039</Words>
  <Pages>3</Pages>
  <Characters>5695</Characters>
  <Application>WPS Office</Application>
  <DocSecurity>0</DocSecurity>
  <Paragraphs>49</Paragraphs>
  <ScaleCrop>false</ScaleCrop>
  <LinksUpToDate>false</LinksUpToDate>
  <CharactersWithSpaces>6722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2021-08-18T17:20:00Z</dcterms:created>
  <dc:creator>Tandarts</dc:creator>
  <lastModifiedBy>SHamerslag</lastModifiedBy>
  <dcterms:modified xsi:type="dcterms:W3CDTF">2021-08-22T11:12:29Z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d2be0ac4887e42e9b27f17bd71904cd8</vt:lpwstr>
  </property>
</Properties>
</file>